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Stefano Porreca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Studi di germanistica (istruzione secondaria,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laurea triennale, laurea magistrale, dottorato di ricerca).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Traduttore freelance TED&gt;ITA: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scienze umane (letteratura, storia, arte, filosofia),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giornalismo politico, turismo e gastronomia. 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Garamond" w:cs="Garamond" w:eastAsia="Garamond" w:hAnsi="Garamond"/>
          <w:sz w:val="20"/>
          <w:szCs w:val="20"/>
        </w:rPr>
      </w:pPr>
      <w:hyperlink r:id="rId6">
        <w:r w:rsidDel="00000000" w:rsidR="00000000" w:rsidRPr="00000000">
          <w:rPr>
            <w:rFonts w:ascii="Garamond" w:cs="Garamond" w:eastAsia="Garamond" w:hAnsi="Garamond"/>
            <w:sz w:val="20"/>
            <w:szCs w:val="20"/>
            <w:rtl w:val="0"/>
          </w:rPr>
          <w:t xml:space="preserve">stefpd85@hotmail.com</w:t>
        </w:r>
      </w:hyperlink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Formazione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1.1.2013–31.12.2015: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Dottorato di ricerca (vincitore di borsa di studio dopo superamento di un test di ammissione in due fasi) in Scienze Linguistiche, Filologiche e Letterarie (indirizzo di germanistica) presso l’Università degli studi di Padova. Pubblicazioni: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Il lungo viaggio di una parola. Il Classico nella storia dell’Occidente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in M. Scattola, E. Calgaro e S. Porreca,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Classico. Storia e contenuto di un concetto letterario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Padova, Cleup, 2014, pp. 19–58 (www.cleup.it/Classico.html).</w:t>
      </w:r>
    </w:p>
    <w:p w:rsidR="00000000" w:rsidDel="00000000" w:rsidP="00000000" w:rsidRDefault="00000000" w:rsidRPr="00000000" w14:paraId="0000000C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18.9.2012: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Laurea Magistrale in Lingue e Letterature Europee e Americane presso l’Università degli studi di Padova con votazione pari a 110/110 e lode. Prima lingua straniera: tedesco. Seconda lingua: spagnolo. Titolo della tesi (scritta a Berlino):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Friedrich Wolters e il momento di agire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23.9.2010: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Laurea Triennale in Lingue, Letterature e Culture Moderne presso l’Università degli studi di Padova con votazione pari a 108/110. Prima lingua: tedesco. Seconda lingua: spagnolo. Titolo della tesi: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Il dio terreno in Rainer Maria Rilke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2835" w:hanging="2835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8.2004: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Diploma di maturità linguistica presso l’Istituto tecnico per le attività sociali Pietro Scalcerle di Padova con votazione pari a 91/100. Prima lingua: inglese. Seconda lingua: tedesco. Terza lingua: spagnolo.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Altre esperienze formative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1.4.–15.8.2012: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Vincitore Borsa di mobilità Erasmus della durata di un semestre accademico presso la Freie Universität di Berlino.</w:t>
      </w:r>
    </w:p>
    <w:p w:rsidR="00000000" w:rsidDel="00000000" w:rsidP="00000000" w:rsidRDefault="00000000" w:rsidRPr="00000000" w14:paraId="00000018">
      <w:pPr>
        <w:spacing w:after="0" w:line="240" w:lineRule="auto"/>
        <w:ind w:left="2832" w:hanging="2832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6.8.–27.8.2011: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Vincitore Borsa di studio del Deutscher Akademischer Austauschdienst (DAAD), dopo il superamento di un test in due fasi, per prendere parte al corso di Letteratura tedesca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Berliner Autoren – Autoren in Berlin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organizzato dalla Freie Universität di Berlino.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2832" w:hanging="2832"/>
        <w:contextualSpacing w:val="0"/>
        <w:jc w:val="both"/>
        <w:rPr>
          <w:rFonts w:ascii="MS Shell Dlg 2" w:cs="MS Shell Dlg 2" w:eastAsia="MS Shell Dlg 2" w:hAnsi="MS Shell Dlg 2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9.2010–2.2011: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Partecipazione al Tandem language learning, organizzato da Progetto Giovani Padova, con una studentessa Erasmus tedesca.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2832" w:hanging="2832"/>
        <w:contextualSpacing w:val="0"/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9.2003: 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Vincitore Borsa Leonardo Mobilità (in qualità di uno dei migliori studenti della mia classe) per svolgere uno stage lavorativo di tre settimane presso l’azienda Dr. Werner Thiedig Gmbh di Berlino. </w:t>
      </w:r>
    </w:p>
    <w:p w:rsidR="00000000" w:rsidDel="00000000" w:rsidP="00000000" w:rsidRDefault="00000000" w:rsidRPr="00000000" w14:paraId="0000001E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9.–10.2002: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Scambio culturale con l’Ernst-Barlach-Gymnasium di Kiel, Germania.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contextualSpacing w:val="0"/>
        <w:jc w:val="both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Incarichi di traduzione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2835" w:hanging="2835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Agosto–Settembre 2018: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Traduzione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TED&gt;ITA di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vari articoli per la scrittrice e giornalista Petra Reski:</w:t>
      </w:r>
    </w:p>
    <w:p w:rsidR="00000000" w:rsidDel="00000000" w:rsidP="00000000" w:rsidRDefault="00000000" w:rsidRPr="00000000" w14:paraId="00000023">
      <w:pPr>
        <w:spacing w:after="0" w:line="240" w:lineRule="auto"/>
        <w:ind w:left="2835" w:hanging="2835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0" w:line="240" w:lineRule="auto"/>
        <w:ind w:left="288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Veniceland e nessun epilogo all’orizzonte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(circa 10 cartelle da 2000 battute, spazi inclusi),(</w:t>
      </w:r>
      <w:hyperlink r:id="rId7">
        <w:r w:rsidDel="00000000" w:rsidR="00000000" w:rsidRPr="00000000">
          <w:rPr>
            <w:rFonts w:ascii="Garamond" w:cs="Garamond" w:eastAsia="Garamond" w:hAnsi="Garamond"/>
            <w:color w:val="000000"/>
            <w:u w:val="none"/>
            <w:rtl w:val="0"/>
          </w:rPr>
          <w:t xml:space="preserve">www.petrareski.com/2018/08/07/veniceland-e-nessun-epilogo-allorizzonte/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);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before="0" w:line="240" w:lineRule="auto"/>
        <w:ind w:left="2880" w:hanging="360"/>
        <w:contextualSpacing w:val="1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Il ponte e i miliardari multiculturalisti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(circa 3 cartelle), (</w:t>
      </w:r>
      <w:hyperlink r:id="rId8">
        <w:r w:rsidDel="00000000" w:rsidR="00000000" w:rsidRPr="00000000">
          <w:rPr>
            <w:rFonts w:ascii="Garamond" w:cs="Garamond" w:eastAsia="Garamond" w:hAnsi="Garamond"/>
            <w:color w:val="000000"/>
            <w:u w:val="none"/>
            <w:rtl w:val="0"/>
          </w:rPr>
          <w:t xml:space="preserve">https://www.petrareski.com/2018/08/23/il-ponte-e-i-miliardari-multiculturalisti/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);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before="0" w:line="240" w:lineRule="auto"/>
        <w:ind w:left="2880" w:hanging="360"/>
        <w:contextualSpacing w:val="1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 benefattori dei Benetton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(circa 3 cartelle),</w:t>
      </w:r>
    </w:p>
    <w:p w:rsidR="00000000" w:rsidDel="00000000" w:rsidP="00000000" w:rsidRDefault="00000000" w:rsidRPr="00000000" w14:paraId="00000027">
      <w:pPr>
        <w:spacing w:after="0" w:line="240" w:lineRule="auto"/>
        <w:ind w:left="2835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              (</w:t>
      </w:r>
      <w:hyperlink r:id="rId9">
        <w:r w:rsidDel="00000000" w:rsidR="00000000" w:rsidRPr="00000000">
          <w:rPr>
            <w:rFonts w:ascii="Garamond" w:cs="Garamond" w:eastAsia="Garamond" w:hAnsi="Garamond"/>
            <w:color w:val="000000"/>
            <w:u w:val="none"/>
            <w:rtl w:val="0"/>
          </w:rPr>
          <w:t xml:space="preserve">https://www.petrareski.com/2018/08/31/i-benefattori-dei-benetton/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);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2880" w:hanging="360"/>
        <w:contextualSpacing w:val="1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La barca (1)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(circa 3 cartelle),</w:t>
      </w:r>
    </w:p>
    <w:p w:rsidR="00000000" w:rsidDel="00000000" w:rsidP="00000000" w:rsidRDefault="00000000" w:rsidRPr="00000000" w14:paraId="00000029">
      <w:pPr>
        <w:spacing w:after="0" w:line="240" w:lineRule="auto"/>
        <w:ind w:left="2121" w:firstLine="707.9999999999998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</w:t>
      </w:r>
      <w:hyperlink r:id="rId10">
        <w:r w:rsidDel="00000000" w:rsidR="00000000" w:rsidRPr="00000000">
          <w:rPr>
            <w:rFonts w:ascii="Garamond" w:cs="Garamond" w:eastAsia="Garamond" w:hAnsi="Garamond"/>
            <w:color w:val="000000"/>
            <w:u w:val="none"/>
            <w:rtl w:val="0"/>
          </w:rPr>
          <w:t xml:space="preserve">https://www.petrareski.com/2018/09/05/la-barca-1/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);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before="0" w:line="240" w:lineRule="auto"/>
        <w:ind w:left="2880" w:hanging="360"/>
        <w:contextualSpacing w:val="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Mia madre, mio padre e io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(circa 2 cartelle),</w:t>
      </w:r>
    </w:p>
    <w:p w:rsidR="00000000" w:rsidDel="00000000" w:rsidP="00000000" w:rsidRDefault="00000000" w:rsidRPr="00000000" w14:paraId="0000002B">
      <w:pPr>
        <w:spacing w:after="0" w:line="240" w:lineRule="auto"/>
        <w:ind w:left="2121" w:firstLine="707.9999999999998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</w:t>
      </w:r>
      <w:hyperlink r:id="rId11">
        <w:r w:rsidDel="00000000" w:rsidR="00000000" w:rsidRPr="00000000">
          <w:rPr>
            <w:rFonts w:ascii="Garamond" w:cs="Garamond" w:eastAsia="Garamond" w:hAnsi="Garamond"/>
            <w:rtl w:val="0"/>
          </w:rPr>
          <w:t xml:space="preserve">https://www.petrareski.com/2018/09/14/mia-madre-mio-padre-e-io/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);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before="0" w:line="240" w:lineRule="auto"/>
        <w:ind w:left="2880" w:hanging="360"/>
        <w:contextualSpacing w:val="1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La barca (2)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(circa 3 cartelle),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288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(https://www.petrareski.com/2018/09/20/la-barca-2/).</w:t>
      </w:r>
    </w:p>
    <w:p w:rsidR="00000000" w:rsidDel="00000000" w:rsidP="00000000" w:rsidRDefault="00000000" w:rsidRPr="00000000" w14:paraId="0000002E">
      <w:pPr>
        <w:spacing w:after="0" w:line="240" w:lineRule="auto"/>
        <w:ind w:left="2121" w:firstLine="707.999999999999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2829" w:hanging="2829"/>
        <w:contextualSpacing w:val="0"/>
        <w:jc w:val="both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Maggio 2018: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Traduzione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TED&gt;ITA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di estratti da un romanzo fantascientifico (circa 4 cartelle).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58"/>
        </w:tabs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Maggio–Giugno 2016: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Traduzione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TED&gt;ITA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di tre capitoli di un’autobiografia politica (circa 66 cartelle).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Autunno 2013: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Incarichi di traduzione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TED&gt;ITA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sulla pittura di Giorgione e Jacopo Palma il Vecchio da parte di dottorandi di ricerca e assegnisti post-doc del Dipartimento di Storia delle arti visive dell’Università di Padova. Elenco testi tradotti in forma privata: </w:t>
      </w:r>
    </w:p>
    <w:p w:rsidR="00000000" w:rsidDel="00000000" w:rsidP="00000000" w:rsidRDefault="00000000" w:rsidRPr="00000000" w14:paraId="00000033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hanging="360"/>
        <w:contextualSpacing w:val="1"/>
        <w:jc w:val="both"/>
        <w:rPr>
          <w:rFonts w:ascii="Garamond" w:cs="Garamond" w:eastAsia="Garamond" w:hAnsi="Garamond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Arnulf Häfele,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Giorgiones Himmel: das Gemälde mit den drei Philosophen als Grenzerfahrung der Ikonographie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Hildesheim-New York, Olms, 2013;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hanging="360"/>
        <w:contextualSpacing w:val="1"/>
        <w:jc w:val="both"/>
        <w:rPr>
          <w:rFonts w:ascii="Garamond" w:cs="Garamond" w:eastAsia="Garamond" w:hAnsi="Garamond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Götz Pochat,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Giorgiones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Drei Philosophen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 Lichte der zeitgenössischen Naturphilosophie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«Kunst, Kultur, Ästhetik», 2009, pp. 35–50;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hanging="360"/>
        <w:contextualSpacing w:val="1"/>
        <w:jc w:val="both"/>
        <w:rPr>
          <w:rFonts w:ascii="Garamond" w:cs="Garamond" w:eastAsia="Garamond" w:hAnsi="Garamond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Karin Zeleny,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Giorgiones drei Philosophen: eine philologische Identifizierung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Giorgione entmythisiert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cura di Silvia Ferino-Pagden, Turnhout, Brepols, 2008, pp. 191–198;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hanging="360"/>
        <w:contextualSpacing w:val="1"/>
        <w:jc w:val="both"/>
        <w:rPr>
          <w:rFonts w:ascii="Garamond" w:cs="Garamond" w:eastAsia="Garamond" w:hAnsi="Garamond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-,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Giorgiones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Tempesta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und die Tempestas in Sabellicos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Genethliacon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der Stadt Venedig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Giorgione entmythisiert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., cit., pp. 119–211;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hanging="360"/>
        <w:contextualSpacing w:val="1"/>
        <w:jc w:val="both"/>
        <w:rPr>
          <w:rFonts w:ascii="Garamond" w:cs="Garamond" w:eastAsia="Garamond" w:hAnsi="Garamond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Marianne Koos,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Bildnisse des Begehrens: das lyrische Männerportrait in der venezianischen Malerei des frühen 16. Jahrhunderts: Giorgione, Tizian und ihr Umkreis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Emsdetten, Imorde, 2006;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hanging="360"/>
        <w:contextualSpacing w:val="1"/>
        <w:jc w:val="both"/>
        <w:rPr>
          <w:rFonts w:ascii="Garamond" w:cs="Garamond" w:eastAsia="Garamond" w:hAnsi="Garamond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Gabriele Helke,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Giorgiones Judith oder: Warum lächelt Holofernes?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«Jahrbuch des Kunsthistorischen Museums Wien», vi/vii, 2004/2005, pp. 27–45.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Software </w:t>
        <w:tab/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Microsoft Word, Adobe Acrobat</w:t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0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Ambiti di traduzione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Traduzioni dal tedesco all’italiano negli ambiti delle scienze umane (romanzi, saggi, critica letteraria, storia dell’arte, pittura, filosofia, storia), e del giornalismo politico. Competenze tecniche anche negli ambiti del turismo (guide turistiche, materiale informativo e pubblicitario) e della gastronomia (menù, ricettari)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2832" w:hanging="2832"/>
        <w:contextualSpacing w:val="0"/>
        <w:jc w:val="both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Autorizzo al trattamento dei miei dati personali contenuti nel mio curriculum vitae in base all’art. 3 del D. Lgs. 196/2003.</w:t>
      </w:r>
    </w:p>
    <w:sectPr>
      <w:headerReference r:id="rId12" w:type="default"/>
      <w:footerReference r:id="rId13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  <w:font w:name="Times New Roman"/>
  <w:font w:name="MS Shell Dlg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12C37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C12C37"/>
    <w:pPr>
      <w:autoSpaceDE w:val="0"/>
      <w:autoSpaceDN w:val="0"/>
      <w:adjustRightInd w:val="0"/>
      <w:spacing w:after="0" w:line="240" w:lineRule="auto"/>
    </w:pPr>
    <w:rPr>
      <w:rFonts w:ascii="Garamond" w:cs="Garamond" w:hAnsi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 w:val="1"/>
    <w:rsid w:val="00C12C37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4F2F4E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hyperlink" Target="https://www.petrareski.com/2018/09/05/la-barca-1/" TargetMode="External"/><Relationship Id="rId5" Type="http://schemas.openxmlformats.org/officeDocument/2006/relationships/styles" Target="styles.xm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8" Type="http://schemas.openxmlformats.org/officeDocument/2006/relationships/hyperlink" Target="https://www.petrareski.com/2018/08/23/il-ponte-e-i-miliardari-multiculturalist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etrareski.com/2018/08/31/i-benefattori-dei-benetton/" TargetMode="External"/><Relationship Id="rId3" Type="http://schemas.openxmlformats.org/officeDocument/2006/relationships/fontTable" Target="fontTable.xml"/><Relationship Id="rId6" Type="http://schemas.openxmlformats.org/officeDocument/2006/relationships/hyperlink" Target="mailto:stefpd85@hotmail.com" TargetMode="External"/><Relationship Id="rId11" Type="http://schemas.openxmlformats.org/officeDocument/2006/relationships/hyperlink" Target="https://www.petrareski.com/2018/09/14/mia-madre-mio-padre-e-io/" TargetMode="External"/><Relationship Id="rId7" Type="http://schemas.openxmlformats.org/officeDocument/2006/relationships/hyperlink" Target="http://www.petrareski.com/2018/08/07/veniceland-e-nessun-epilogo-allorizzonte/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